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91A2D" w14:textId="77777777" w:rsidR="005321CC" w:rsidRPr="00E32BA0" w:rsidRDefault="005321CC" w:rsidP="005321CC">
      <w:pPr>
        <w:spacing w:before="2" w:line="263" w:lineRule="exact"/>
        <w:ind w:right="5"/>
        <w:jc w:val="center"/>
        <w:textAlignment w:val="baseline"/>
        <w:rPr>
          <w:rFonts w:eastAsia="Times New Roman"/>
          <w:b/>
          <w:color w:val="000000"/>
          <w:spacing w:val="5"/>
          <w:sz w:val="24"/>
          <w:szCs w:val="24"/>
        </w:rPr>
      </w:pPr>
      <w:r>
        <w:rPr>
          <w:rFonts w:eastAsia="Times New Roman"/>
          <w:b/>
          <w:color w:val="000000"/>
          <w:spacing w:val="5"/>
          <w:sz w:val="24"/>
          <w:szCs w:val="24"/>
        </w:rPr>
        <w:t>SOAH DOCKET NO. 473-24-13232</w:t>
      </w:r>
    </w:p>
    <w:p w14:paraId="206E1774" w14:textId="77777777" w:rsidR="005321CC" w:rsidRPr="00E32BA0" w:rsidRDefault="005321CC" w:rsidP="005321CC">
      <w:pPr>
        <w:spacing w:before="2" w:line="263" w:lineRule="exact"/>
        <w:ind w:right="5"/>
        <w:jc w:val="center"/>
        <w:textAlignment w:val="baseline"/>
        <w:rPr>
          <w:rFonts w:eastAsia="Times New Roman"/>
          <w:b/>
          <w:color w:val="000000"/>
          <w:spacing w:val="5"/>
          <w:sz w:val="24"/>
          <w:szCs w:val="24"/>
        </w:rPr>
      </w:pPr>
      <w:r>
        <w:rPr>
          <w:rFonts w:eastAsia="Times New Roman"/>
          <w:b/>
          <w:color w:val="000000"/>
          <w:spacing w:val="5"/>
          <w:sz w:val="24"/>
          <w:szCs w:val="24"/>
        </w:rPr>
        <w:t>PUC DOCKET NO. 56211</w:t>
      </w:r>
    </w:p>
    <w:p w14:paraId="3A866E38" w14:textId="77777777" w:rsidR="005321CC" w:rsidRPr="00E32BA0" w:rsidRDefault="005321CC" w:rsidP="005321CC">
      <w:pPr>
        <w:tabs>
          <w:tab w:val="left" w:pos="7992"/>
        </w:tabs>
        <w:spacing w:line="239" w:lineRule="exact"/>
        <w:ind w:right="5"/>
        <w:textAlignment w:val="baseline"/>
        <w:rPr>
          <w:rFonts w:eastAsia="Times New Roman"/>
          <w:color w:val="000000"/>
          <w:spacing w:val="3"/>
          <w:sz w:val="24"/>
          <w:szCs w:val="24"/>
        </w:rPr>
      </w:pPr>
    </w:p>
    <w:p w14:paraId="523F3335" w14:textId="77777777" w:rsidR="005321CC" w:rsidRPr="00E32BA0" w:rsidRDefault="005321CC" w:rsidP="005321CC">
      <w:pPr>
        <w:spacing w:before="115" w:line="263" w:lineRule="exact"/>
        <w:ind w:right="5"/>
        <w:textAlignment w:val="baseline"/>
        <w:rPr>
          <w:rFonts w:eastAsia="Times New Roman"/>
          <w:b/>
          <w:color w:val="000000"/>
          <w:spacing w:val="5"/>
          <w:sz w:val="24"/>
          <w:szCs w:val="24"/>
        </w:rPr>
      </w:pPr>
      <w:r>
        <w:rPr>
          <w:rFonts w:eastAsia="Times New Roman"/>
          <w:b/>
          <w:color w:val="000000"/>
          <w:spacing w:val="5"/>
          <w:sz w:val="24"/>
          <w:szCs w:val="24"/>
        </w:rPr>
        <w:t>APPLICATION OF CENTERPOINT</w:t>
      </w:r>
      <w:r w:rsidRPr="00E32BA0">
        <w:rPr>
          <w:rFonts w:eastAsia="Times New Roman"/>
          <w:b/>
          <w:color w:val="000000"/>
          <w:spacing w:val="5"/>
          <w:sz w:val="24"/>
          <w:szCs w:val="24"/>
        </w:rPr>
        <w:tab/>
      </w:r>
      <w:r w:rsidRPr="00E32BA0">
        <w:rPr>
          <w:rFonts w:eastAsia="Times New Roman"/>
          <w:b/>
          <w:color w:val="000000"/>
          <w:spacing w:val="5"/>
          <w:sz w:val="24"/>
          <w:szCs w:val="24"/>
        </w:rPr>
        <w:tab/>
        <w:t>§</w:t>
      </w:r>
      <w:r w:rsidRPr="00E32BA0">
        <w:rPr>
          <w:rFonts w:eastAsia="Times New Roman"/>
          <w:b/>
          <w:color w:val="000000"/>
          <w:spacing w:val="5"/>
          <w:sz w:val="24"/>
          <w:szCs w:val="24"/>
        </w:rPr>
        <w:tab/>
        <w:t>BEFORE THE STATE OFFICE</w:t>
      </w:r>
    </w:p>
    <w:p w14:paraId="5D9C626D" w14:textId="77777777" w:rsidR="005321CC" w:rsidRPr="00E32BA0" w:rsidRDefault="005321CC" w:rsidP="005321CC">
      <w:pPr>
        <w:spacing w:line="260" w:lineRule="exact"/>
        <w:ind w:right="5"/>
        <w:textAlignment w:val="baseline"/>
        <w:rPr>
          <w:rFonts w:eastAsia="Times New Roman"/>
          <w:b/>
          <w:color w:val="000000"/>
          <w:spacing w:val="6"/>
          <w:sz w:val="24"/>
          <w:szCs w:val="24"/>
        </w:rPr>
      </w:pPr>
      <w:r>
        <w:rPr>
          <w:rFonts w:eastAsia="Times New Roman"/>
          <w:b/>
          <w:color w:val="000000"/>
          <w:spacing w:val="6"/>
          <w:sz w:val="24"/>
          <w:szCs w:val="24"/>
        </w:rPr>
        <w:t>ENERGY HOUSTON ELECTRIC, LLC</w:t>
      </w:r>
      <w:r w:rsidRPr="00E32BA0">
        <w:rPr>
          <w:rFonts w:eastAsia="Times New Roman"/>
          <w:b/>
          <w:color w:val="000000"/>
          <w:spacing w:val="6"/>
          <w:sz w:val="24"/>
          <w:szCs w:val="24"/>
        </w:rPr>
        <w:tab/>
      </w:r>
      <w:r w:rsidRPr="00E32BA0">
        <w:rPr>
          <w:rFonts w:eastAsia="Times New Roman"/>
          <w:b/>
          <w:color w:val="000000"/>
          <w:spacing w:val="5"/>
          <w:sz w:val="24"/>
          <w:szCs w:val="24"/>
        </w:rPr>
        <w:t>§</w:t>
      </w:r>
    </w:p>
    <w:p w14:paraId="5378D832" w14:textId="77777777" w:rsidR="005321CC" w:rsidRPr="00E32BA0" w:rsidRDefault="005321CC" w:rsidP="005321CC">
      <w:pPr>
        <w:spacing w:before="6" w:line="263" w:lineRule="exact"/>
        <w:ind w:right="5"/>
        <w:textAlignment w:val="baseline"/>
        <w:rPr>
          <w:rFonts w:eastAsia="Times New Roman"/>
          <w:b/>
          <w:color w:val="000000"/>
          <w:sz w:val="24"/>
          <w:szCs w:val="24"/>
        </w:rPr>
      </w:pPr>
      <w:r>
        <w:rPr>
          <w:rFonts w:eastAsia="Times New Roman"/>
          <w:b/>
          <w:color w:val="000000"/>
          <w:sz w:val="24"/>
          <w:szCs w:val="24"/>
        </w:rPr>
        <w:t>FOR AUTHORITY TO CHANGE</w:t>
      </w:r>
      <w:r w:rsidRPr="00E32BA0">
        <w:rPr>
          <w:rFonts w:eastAsia="Times New Roman"/>
          <w:b/>
          <w:color w:val="000000"/>
          <w:sz w:val="24"/>
          <w:szCs w:val="24"/>
        </w:rPr>
        <w:tab/>
      </w:r>
      <w:r w:rsidRPr="00E32BA0">
        <w:rPr>
          <w:rFonts w:eastAsia="Times New Roman"/>
          <w:b/>
          <w:color w:val="000000"/>
          <w:sz w:val="24"/>
          <w:szCs w:val="24"/>
        </w:rPr>
        <w:tab/>
      </w:r>
      <w:r w:rsidRPr="00E32BA0">
        <w:rPr>
          <w:rFonts w:eastAsia="Times New Roman"/>
          <w:b/>
          <w:color w:val="000000"/>
          <w:sz w:val="24"/>
          <w:szCs w:val="24"/>
        </w:rPr>
        <w:tab/>
        <w:t>§</w:t>
      </w:r>
      <w:r w:rsidRPr="00E32BA0">
        <w:rPr>
          <w:rFonts w:eastAsia="Times New Roman"/>
          <w:b/>
          <w:color w:val="000000"/>
          <w:sz w:val="24"/>
          <w:szCs w:val="24"/>
        </w:rPr>
        <w:tab/>
      </w:r>
      <w:r w:rsidRPr="00E32BA0">
        <w:rPr>
          <w:rFonts w:eastAsia="Times New Roman"/>
          <w:b/>
          <w:color w:val="000000"/>
          <w:sz w:val="24"/>
          <w:szCs w:val="24"/>
        </w:rPr>
        <w:tab/>
      </w:r>
      <w:r w:rsidRPr="00E32BA0">
        <w:rPr>
          <w:rFonts w:eastAsia="Times New Roman"/>
          <w:b/>
          <w:color w:val="000000"/>
          <w:sz w:val="24"/>
          <w:szCs w:val="24"/>
        </w:rPr>
        <w:tab/>
        <w:t>OF</w:t>
      </w:r>
    </w:p>
    <w:p w14:paraId="5E0AE5E1" w14:textId="77777777" w:rsidR="005321CC" w:rsidRPr="00E32BA0" w:rsidRDefault="005321CC" w:rsidP="005321CC">
      <w:pPr>
        <w:spacing w:before="6" w:line="263" w:lineRule="exact"/>
        <w:ind w:right="5"/>
        <w:textAlignment w:val="baseline"/>
        <w:rPr>
          <w:rFonts w:eastAsia="Times New Roman"/>
          <w:b/>
          <w:color w:val="000000"/>
          <w:sz w:val="24"/>
          <w:szCs w:val="24"/>
        </w:rPr>
      </w:pPr>
      <w:r>
        <w:rPr>
          <w:rFonts w:eastAsia="Times New Roman"/>
          <w:b/>
          <w:color w:val="000000"/>
          <w:sz w:val="24"/>
          <w:szCs w:val="24"/>
        </w:rPr>
        <w:t>RATES</w:t>
      </w:r>
      <w:r w:rsidRPr="00E32BA0">
        <w:rPr>
          <w:rFonts w:eastAsia="Times New Roman"/>
          <w:b/>
          <w:color w:val="000000"/>
          <w:sz w:val="24"/>
          <w:szCs w:val="24"/>
        </w:rPr>
        <w:tab/>
      </w:r>
      <w:r w:rsidRPr="00E32BA0">
        <w:rPr>
          <w:rFonts w:eastAsia="Times New Roman"/>
          <w:b/>
          <w:color w:val="000000"/>
          <w:sz w:val="24"/>
          <w:szCs w:val="24"/>
        </w:rPr>
        <w:tab/>
      </w:r>
      <w:r w:rsidRPr="00E32BA0">
        <w:rPr>
          <w:rFonts w:eastAsia="Times New Roman"/>
          <w:b/>
          <w:color w:val="000000"/>
          <w:sz w:val="24"/>
          <w:szCs w:val="24"/>
        </w:rPr>
        <w:tab/>
      </w:r>
      <w:r w:rsidRPr="00E32BA0">
        <w:rPr>
          <w:rFonts w:eastAsia="Times New Roman"/>
          <w:b/>
          <w:color w:val="000000"/>
          <w:sz w:val="24"/>
          <w:szCs w:val="24"/>
        </w:rPr>
        <w:tab/>
      </w:r>
      <w:r w:rsidRPr="00E32BA0">
        <w:rPr>
          <w:rFonts w:eastAsia="Times New Roman"/>
          <w:b/>
          <w:color w:val="000000"/>
          <w:sz w:val="24"/>
          <w:szCs w:val="24"/>
        </w:rPr>
        <w:tab/>
      </w:r>
      <w:r w:rsidRPr="00E32BA0">
        <w:rPr>
          <w:rFonts w:eastAsia="Times New Roman"/>
          <w:b/>
          <w:color w:val="000000"/>
          <w:sz w:val="24"/>
          <w:szCs w:val="24"/>
        </w:rPr>
        <w:tab/>
        <w:t>§</w:t>
      </w:r>
    </w:p>
    <w:p w14:paraId="6321E245" w14:textId="77777777" w:rsidR="005321CC" w:rsidRDefault="005321CC" w:rsidP="005321CC">
      <w:pPr>
        <w:spacing w:before="6" w:line="263" w:lineRule="exact"/>
        <w:ind w:right="5"/>
        <w:textAlignment w:val="baseline"/>
        <w:rPr>
          <w:rFonts w:eastAsia="Times New Roman"/>
          <w:b/>
          <w:color w:val="000000"/>
          <w:sz w:val="24"/>
          <w:szCs w:val="24"/>
        </w:rPr>
      </w:pPr>
      <w:r w:rsidRPr="00E32BA0">
        <w:rPr>
          <w:rFonts w:eastAsia="Times New Roman"/>
          <w:b/>
          <w:color w:val="000000"/>
          <w:sz w:val="24"/>
          <w:szCs w:val="24"/>
        </w:rPr>
        <w:tab/>
      </w:r>
      <w:r w:rsidRPr="00E32BA0">
        <w:rPr>
          <w:rFonts w:eastAsia="Times New Roman"/>
          <w:b/>
          <w:color w:val="000000"/>
          <w:sz w:val="24"/>
          <w:szCs w:val="24"/>
        </w:rPr>
        <w:tab/>
      </w:r>
      <w:r w:rsidRPr="00E32BA0">
        <w:rPr>
          <w:rFonts w:eastAsia="Times New Roman"/>
          <w:b/>
          <w:color w:val="000000"/>
          <w:sz w:val="24"/>
          <w:szCs w:val="24"/>
        </w:rPr>
        <w:tab/>
      </w:r>
      <w:r w:rsidRPr="00E32BA0">
        <w:rPr>
          <w:rFonts w:eastAsia="Times New Roman"/>
          <w:b/>
          <w:color w:val="000000"/>
          <w:sz w:val="24"/>
          <w:szCs w:val="24"/>
        </w:rPr>
        <w:tab/>
      </w:r>
      <w:r w:rsidRPr="00E32BA0">
        <w:rPr>
          <w:rFonts w:eastAsia="Times New Roman"/>
          <w:b/>
          <w:color w:val="000000"/>
          <w:sz w:val="24"/>
          <w:szCs w:val="24"/>
        </w:rPr>
        <w:tab/>
      </w:r>
      <w:r w:rsidRPr="00E32BA0">
        <w:rPr>
          <w:rFonts w:eastAsia="Times New Roman"/>
          <w:b/>
          <w:color w:val="000000"/>
          <w:sz w:val="24"/>
          <w:szCs w:val="24"/>
        </w:rPr>
        <w:tab/>
      </w:r>
      <w:r w:rsidRPr="00E32BA0">
        <w:rPr>
          <w:rFonts w:eastAsia="Times New Roman"/>
          <w:b/>
          <w:color w:val="000000"/>
          <w:sz w:val="24"/>
          <w:szCs w:val="24"/>
        </w:rPr>
        <w:tab/>
        <w:t>§</w:t>
      </w:r>
      <w:r w:rsidRPr="00E32BA0">
        <w:rPr>
          <w:rFonts w:eastAsia="Times New Roman"/>
          <w:b/>
          <w:color w:val="000000"/>
          <w:sz w:val="24"/>
          <w:szCs w:val="24"/>
        </w:rPr>
        <w:tab/>
        <w:t>ADMINISTRATIVE HEARINGS</w:t>
      </w:r>
    </w:p>
    <w:p w14:paraId="4DB6342C" w14:textId="77777777" w:rsidR="007806F1" w:rsidRPr="00E32BA0" w:rsidRDefault="007806F1" w:rsidP="005321CC">
      <w:pPr>
        <w:spacing w:before="6" w:line="263" w:lineRule="exact"/>
        <w:ind w:right="5"/>
        <w:textAlignment w:val="baseline"/>
        <w:rPr>
          <w:rFonts w:eastAsia="Times New Roman"/>
          <w:b/>
          <w:color w:val="000000"/>
          <w:sz w:val="24"/>
          <w:szCs w:val="24"/>
        </w:rPr>
      </w:pPr>
    </w:p>
    <w:p w14:paraId="3B1DB7E0" w14:textId="77777777" w:rsidR="00E565B9" w:rsidRDefault="00E565B9">
      <w:pPr>
        <w:spacing w:after="232" w:line="20" w:lineRule="exact"/>
      </w:pPr>
    </w:p>
    <w:p w14:paraId="3B1DB7E1" w14:textId="55B6A4D6" w:rsidR="00E565B9" w:rsidRDefault="005321CC">
      <w:pPr>
        <w:spacing w:before="3" w:line="274" w:lineRule="exact"/>
        <w:jc w:val="center"/>
        <w:textAlignment w:val="baseline"/>
        <w:rPr>
          <w:rFonts w:eastAsia="Times New Roman"/>
          <w:b/>
          <w:color w:val="000000"/>
          <w:spacing w:val="-1"/>
          <w:sz w:val="24"/>
          <w:u w:val="single"/>
        </w:rPr>
      </w:pPr>
      <w:r>
        <w:rPr>
          <w:rFonts w:eastAsia="Times New Roman"/>
          <w:b/>
          <w:color w:val="000000"/>
          <w:spacing w:val="-1"/>
          <w:sz w:val="24"/>
          <w:u w:val="single"/>
        </w:rPr>
        <w:t>Houston Coalition of Cities’</w:t>
      </w:r>
      <w:r w:rsidR="008C6185">
        <w:rPr>
          <w:rFonts w:eastAsia="Times New Roman"/>
          <w:b/>
          <w:color w:val="000000"/>
          <w:spacing w:val="-1"/>
          <w:sz w:val="24"/>
          <w:u w:val="single"/>
        </w:rPr>
        <w:t xml:space="preserve"> </w:t>
      </w:r>
      <w:r w:rsidR="00702AE2">
        <w:rPr>
          <w:rFonts w:eastAsia="Times New Roman"/>
          <w:b/>
          <w:color w:val="000000"/>
          <w:spacing w:val="-1"/>
          <w:sz w:val="24"/>
          <w:u w:val="single"/>
        </w:rPr>
        <w:t xml:space="preserve">Proposed </w:t>
      </w:r>
      <w:r w:rsidR="008C6185">
        <w:rPr>
          <w:rFonts w:eastAsia="Times New Roman"/>
          <w:b/>
          <w:color w:val="000000"/>
          <w:spacing w:val="-1"/>
          <w:sz w:val="24"/>
          <w:u w:val="single"/>
        </w:rPr>
        <w:t xml:space="preserve">List of Issues </w:t>
      </w:r>
    </w:p>
    <w:p w14:paraId="3B1DB7E2" w14:textId="6D6730C9" w:rsidR="00E565B9" w:rsidRDefault="008C6185">
      <w:pPr>
        <w:spacing w:line="550" w:lineRule="exact"/>
        <w:ind w:firstLine="720"/>
        <w:jc w:val="both"/>
        <w:textAlignment w:val="baseline"/>
        <w:rPr>
          <w:rFonts w:eastAsia="Times New Roman"/>
          <w:color w:val="000000"/>
          <w:sz w:val="24"/>
        </w:rPr>
      </w:pPr>
      <w:r>
        <w:rPr>
          <w:rFonts w:eastAsia="Times New Roman"/>
          <w:color w:val="000000"/>
          <w:sz w:val="24"/>
        </w:rPr>
        <w:t xml:space="preserve">Pursuant to the Order of Referral entered in this docket by the Public Utility Commission of Texas (Commission) on </w:t>
      </w:r>
      <w:r w:rsidR="007612DC">
        <w:rPr>
          <w:rFonts w:eastAsia="Times New Roman"/>
          <w:color w:val="000000"/>
          <w:sz w:val="24"/>
        </w:rPr>
        <w:t>March 7, 2024</w:t>
      </w:r>
      <w:r>
        <w:rPr>
          <w:rFonts w:eastAsia="Times New Roman"/>
          <w:color w:val="000000"/>
          <w:sz w:val="24"/>
        </w:rPr>
        <w:t xml:space="preserve">, </w:t>
      </w:r>
      <w:r w:rsidR="00086062">
        <w:rPr>
          <w:rFonts w:eastAsia="Times New Roman"/>
          <w:color w:val="000000"/>
          <w:sz w:val="24"/>
        </w:rPr>
        <w:t>the Houston Coalition of Cities</w:t>
      </w:r>
      <w:r>
        <w:rPr>
          <w:rFonts w:eastAsia="Times New Roman"/>
          <w:color w:val="000000"/>
          <w:sz w:val="24"/>
        </w:rPr>
        <w:t xml:space="preserve"> (“</w:t>
      </w:r>
      <w:r w:rsidR="00086062">
        <w:rPr>
          <w:rFonts w:eastAsia="Times New Roman"/>
          <w:color w:val="000000"/>
          <w:sz w:val="24"/>
        </w:rPr>
        <w:t>HCC</w:t>
      </w:r>
      <w:r>
        <w:rPr>
          <w:rFonts w:eastAsia="Times New Roman"/>
          <w:color w:val="000000"/>
          <w:sz w:val="24"/>
        </w:rPr>
        <w:t>”) submit</w:t>
      </w:r>
      <w:r w:rsidR="00223350">
        <w:rPr>
          <w:rFonts w:eastAsia="Times New Roman"/>
          <w:color w:val="000000"/>
          <w:sz w:val="24"/>
        </w:rPr>
        <w:t>s</w:t>
      </w:r>
      <w:r>
        <w:rPr>
          <w:rFonts w:eastAsia="Times New Roman"/>
          <w:color w:val="000000"/>
          <w:sz w:val="24"/>
        </w:rPr>
        <w:t xml:space="preserve"> the following </w:t>
      </w:r>
      <w:r w:rsidR="00702AE2">
        <w:rPr>
          <w:rFonts w:eastAsia="Times New Roman"/>
          <w:color w:val="000000"/>
          <w:sz w:val="24"/>
        </w:rPr>
        <w:t xml:space="preserve">proposed </w:t>
      </w:r>
      <w:r>
        <w:rPr>
          <w:rFonts w:eastAsia="Times New Roman"/>
          <w:color w:val="000000"/>
          <w:sz w:val="24"/>
        </w:rPr>
        <w:t xml:space="preserve">preliminary list of issues to be addressed in this proceeding. This list is preliminary in nature and not intended to be exhaustive of all the issues in this proceeding. </w:t>
      </w:r>
      <w:r w:rsidR="007612DC">
        <w:rPr>
          <w:rFonts w:eastAsia="Times New Roman"/>
          <w:color w:val="000000"/>
          <w:sz w:val="24"/>
        </w:rPr>
        <w:t>HCC</w:t>
      </w:r>
      <w:r>
        <w:rPr>
          <w:rFonts w:eastAsia="Times New Roman"/>
          <w:color w:val="000000"/>
          <w:sz w:val="24"/>
        </w:rPr>
        <w:t xml:space="preserve"> has just recently begun its review of the issues in this case. </w:t>
      </w:r>
      <w:r w:rsidR="007612DC">
        <w:rPr>
          <w:rFonts w:eastAsia="Times New Roman"/>
          <w:color w:val="000000"/>
          <w:sz w:val="24"/>
        </w:rPr>
        <w:t>HCC</w:t>
      </w:r>
      <w:r>
        <w:rPr>
          <w:rFonts w:eastAsia="Times New Roman"/>
          <w:color w:val="000000"/>
          <w:sz w:val="24"/>
        </w:rPr>
        <w:t xml:space="preserve">, therefore, reserves the right to raise additional issues during the course of this proceeding that may arise from </w:t>
      </w:r>
      <w:r w:rsidR="00702AE2">
        <w:rPr>
          <w:rFonts w:eastAsia="Times New Roman"/>
          <w:color w:val="000000"/>
          <w:sz w:val="24"/>
        </w:rPr>
        <w:t xml:space="preserve">further </w:t>
      </w:r>
      <w:r>
        <w:rPr>
          <w:rFonts w:eastAsia="Times New Roman"/>
          <w:color w:val="000000"/>
          <w:sz w:val="24"/>
        </w:rPr>
        <w:t>review of the application and pertinent authorities.</w:t>
      </w:r>
    </w:p>
    <w:p w14:paraId="3B1DB7E3" w14:textId="77777777" w:rsidR="00E565B9" w:rsidRPr="00381E11" w:rsidRDefault="008C6185">
      <w:pPr>
        <w:spacing w:before="280" w:line="273" w:lineRule="exact"/>
        <w:jc w:val="center"/>
        <w:textAlignment w:val="baseline"/>
        <w:rPr>
          <w:rFonts w:eastAsia="Times New Roman"/>
          <w:b/>
          <w:bCs/>
          <w:color w:val="000000"/>
          <w:sz w:val="24"/>
          <w:u w:val="single"/>
        </w:rPr>
      </w:pPr>
      <w:r w:rsidRPr="00381E11">
        <w:rPr>
          <w:rFonts w:eastAsia="Times New Roman"/>
          <w:b/>
          <w:bCs/>
          <w:color w:val="000000"/>
          <w:sz w:val="24"/>
          <w:u w:val="single"/>
        </w:rPr>
        <w:t>Issues List</w:t>
      </w:r>
    </w:p>
    <w:p w14:paraId="3B1DB7E4" w14:textId="77777777" w:rsidR="00E565B9" w:rsidRPr="008178F6" w:rsidRDefault="008C6185">
      <w:pPr>
        <w:numPr>
          <w:ilvl w:val="0"/>
          <w:numId w:val="1"/>
        </w:numPr>
        <w:spacing w:before="275" w:line="276" w:lineRule="exact"/>
        <w:ind w:left="720" w:hanging="720"/>
        <w:jc w:val="both"/>
        <w:textAlignment w:val="baseline"/>
        <w:rPr>
          <w:rFonts w:eastAsia="Times New Roman"/>
          <w:sz w:val="24"/>
        </w:rPr>
      </w:pPr>
      <w:r w:rsidRPr="008178F6">
        <w:rPr>
          <w:rFonts w:eastAsia="Times New Roman"/>
          <w:sz w:val="24"/>
        </w:rPr>
        <w:t>What is CenterPoint’s reasonable and necessary cost of providing transmission and distribution service, calculated in accordance with statutory and Commission requirements?</w:t>
      </w:r>
    </w:p>
    <w:p w14:paraId="45D96D38" w14:textId="77777777" w:rsidR="00E47292" w:rsidRDefault="008C6185" w:rsidP="00E47292">
      <w:pPr>
        <w:numPr>
          <w:ilvl w:val="0"/>
          <w:numId w:val="1"/>
        </w:numPr>
        <w:spacing w:before="279" w:line="273" w:lineRule="exact"/>
        <w:ind w:left="720" w:hanging="720"/>
        <w:jc w:val="both"/>
        <w:textAlignment w:val="baseline"/>
        <w:rPr>
          <w:rFonts w:eastAsia="Times New Roman"/>
          <w:sz w:val="24"/>
        </w:rPr>
      </w:pPr>
      <w:r w:rsidRPr="00E47292">
        <w:rPr>
          <w:rFonts w:eastAsia="Times New Roman"/>
          <w:sz w:val="24"/>
        </w:rPr>
        <w:t>Are costs appropriately assigned to CenterPoint and its affiliates? Has CenterPoint met the standard for recovery of affiliate costs under PURA § 36.058 and Commission requirements?</w:t>
      </w:r>
    </w:p>
    <w:p w14:paraId="72B11D47" w14:textId="77777777" w:rsidR="00E2787A" w:rsidRDefault="008C6185" w:rsidP="00E47292">
      <w:pPr>
        <w:numPr>
          <w:ilvl w:val="0"/>
          <w:numId w:val="1"/>
        </w:numPr>
        <w:spacing w:before="279" w:line="273" w:lineRule="exact"/>
        <w:ind w:left="720" w:hanging="720"/>
        <w:jc w:val="both"/>
        <w:textAlignment w:val="baseline"/>
        <w:rPr>
          <w:rFonts w:eastAsia="Times New Roman"/>
          <w:sz w:val="24"/>
        </w:rPr>
      </w:pPr>
      <w:r w:rsidRPr="00E47292">
        <w:rPr>
          <w:rFonts w:eastAsia="Times New Roman"/>
          <w:sz w:val="24"/>
        </w:rPr>
        <w:t>Are all components of CenterPoint’s rate base reasonable and necessary?</w:t>
      </w:r>
    </w:p>
    <w:p w14:paraId="3B1DB7E7" w14:textId="6AD118CB" w:rsidR="00E565B9" w:rsidRPr="00E47292" w:rsidRDefault="008C6185" w:rsidP="00E47292">
      <w:pPr>
        <w:numPr>
          <w:ilvl w:val="0"/>
          <w:numId w:val="1"/>
        </w:numPr>
        <w:spacing w:before="279" w:line="273" w:lineRule="exact"/>
        <w:ind w:left="720" w:hanging="720"/>
        <w:jc w:val="both"/>
        <w:textAlignment w:val="baseline"/>
        <w:rPr>
          <w:rFonts w:eastAsia="Times New Roman"/>
          <w:sz w:val="24"/>
        </w:rPr>
      </w:pPr>
      <w:r w:rsidRPr="00E47292">
        <w:rPr>
          <w:rFonts w:eastAsia="Times New Roman"/>
          <w:sz w:val="24"/>
        </w:rPr>
        <w:t>What is the appropriate and reasonable overall rate of return, return on equity, cost of debt, and capital structure for CenterPoint?</w:t>
      </w:r>
    </w:p>
    <w:p w14:paraId="3B1DB7E8" w14:textId="77777777" w:rsidR="00E565B9" w:rsidRPr="0059736A" w:rsidRDefault="008C6185">
      <w:pPr>
        <w:numPr>
          <w:ilvl w:val="0"/>
          <w:numId w:val="1"/>
        </w:numPr>
        <w:spacing w:before="273" w:line="279" w:lineRule="exact"/>
        <w:ind w:left="720" w:hanging="720"/>
        <w:jc w:val="both"/>
        <w:textAlignment w:val="baseline"/>
        <w:rPr>
          <w:rFonts w:eastAsia="Times New Roman"/>
          <w:sz w:val="24"/>
        </w:rPr>
      </w:pPr>
      <w:r w:rsidRPr="0059736A">
        <w:rPr>
          <w:rFonts w:eastAsia="Times New Roman"/>
          <w:sz w:val="24"/>
        </w:rPr>
        <w:t>Are CenterPoint’s costs properly functionalized into transmission, distribution, metering, and customer service categories?</w:t>
      </w:r>
    </w:p>
    <w:p w14:paraId="2C802F7E" w14:textId="0D740C74" w:rsidR="00E47292" w:rsidRDefault="008C6185" w:rsidP="00E47292">
      <w:pPr>
        <w:numPr>
          <w:ilvl w:val="0"/>
          <w:numId w:val="1"/>
        </w:numPr>
        <w:spacing w:before="269" w:line="278" w:lineRule="exact"/>
        <w:ind w:left="720" w:hanging="720"/>
        <w:jc w:val="both"/>
        <w:textAlignment w:val="baseline"/>
        <w:rPr>
          <w:rFonts w:eastAsia="Times New Roman"/>
          <w:sz w:val="24"/>
        </w:rPr>
      </w:pPr>
      <w:r w:rsidRPr="0059736A">
        <w:rPr>
          <w:rFonts w:eastAsia="Times New Roman"/>
          <w:sz w:val="24"/>
        </w:rPr>
        <w:t>What is the appropriate and reasonable cost allocation and rate design of the transmission and distribution rates?</w:t>
      </w:r>
    </w:p>
    <w:p w14:paraId="6812C2B5" w14:textId="77777777" w:rsidR="00E47292" w:rsidRPr="00E47292" w:rsidRDefault="00E47292" w:rsidP="00E47292"/>
    <w:p w14:paraId="53BF547C" w14:textId="77777777" w:rsidR="00E47292" w:rsidRDefault="00672691" w:rsidP="00E47292">
      <w:pPr>
        <w:numPr>
          <w:ilvl w:val="0"/>
          <w:numId w:val="1"/>
        </w:numPr>
        <w:spacing w:before="4" w:line="274" w:lineRule="exact"/>
        <w:ind w:left="720" w:hanging="720"/>
        <w:jc w:val="both"/>
        <w:textAlignment w:val="baseline"/>
        <w:rPr>
          <w:rFonts w:eastAsia="Times New Roman"/>
          <w:sz w:val="24"/>
        </w:rPr>
      </w:pPr>
      <w:r w:rsidRPr="00E47292">
        <w:rPr>
          <w:rFonts w:eastAsia="Times New Roman"/>
          <w:sz w:val="24"/>
        </w:rPr>
        <w:lastRenderedPageBreak/>
        <w:t>Should protections be included for low-income customers?  If so, how can those protections be accomplished?</w:t>
      </w:r>
    </w:p>
    <w:p w14:paraId="2C3F835C" w14:textId="77777777" w:rsidR="00E47292" w:rsidRDefault="00E47292" w:rsidP="00E47292"/>
    <w:p w14:paraId="3B1DB7EB" w14:textId="4D8A7535" w:rsidR="00E565B9" w:rsidRPr="00E47292" w:rsidRDefault="008C6185" w:rsidP="00E47292">
      <w:pPr>
        <w:numPr>
          <w:ilvl w:val="0"/>
          <w:numId w:val="1"/>
        </w:numPr>
        <w:spacing w:before="4" w:line="274" w:lineRule="exact"/>
        <w:ind w:left="720" w:hanging="720"/>
        <w:jc w:val="both"/>
        <w:textAlignment w:val="baseline"/>
        <w:rPr>
          <w:rFonts w:eastAsia="Times New Roman"/>
          <w:sz w:val="24"/>
        </w:rPr>
      </w:pPr>
      <w:r w:rsidRPr="00E47292">
        <w:rPr>
          <w:rFonts w:eastAsia="Times New Roman"/>
          <w:sz w:val="24"/>
        </w:rPr>
        <w:t>Are CenterPoint’s proposed rates just and reasonable and in compliance with all relevant statutory Commission requirements?</w:t>
      </w:r>
    </w:p>
    <w:p w14:paraId="3B1DB7EC" w14:textId="77777777" w:rsidR="00E565B9" w:rsidRPr="0059736A" w:rsidRDefault="008C6185">
      <w:pPr>
        <w:numPr>
          <w:ilvl w:val="0"/>
          <w:numId w:val="1"/>
        </w:numPr>
        <w:spacing w:before="279" w:line="273" w:lineRule="exact"/>
        <w:ind w:left="720" w:hanging="720"/>
        <w:jc w:val="both"/>
        <w:textAlignment w:val="baseline"/>
        <w:rPr>
          <w:rFonts w:eastAsia="Times New Roman"/>
          <w:sz w:val="24"/>
        </w:rPr>
      </w:pPr>
      <w:r w:rsidRPr="0059736A">
        <w:rPr>
          <w:rFonts w:eastAsia="Times New Roman"/>
          <w:sz w:val="24"/>
        </w:rPr>
        <w:t>Are CenterPoint’s proposed energy efficiency expenditures reasonable and necessary?</w:t>
      </w:r>
    </w:p>
    <w:p w14:paraId="3B1DB7ED" w14:textId="77777777" w:rsidR="00E565B9" w:rsidRPr="0059736A" w:rsidRDefault="008C6185">
      <w:pPr>
        <w:numPr>
          <w:ilvl w:val="0"/>
          <w:numId w:val="1"/>
        </w:numPr>
        <w:spacing w:before="279" w:line="273" w:lineRule="exact"/>
        <w:ind w:left="720" w:hanging="720"/>
        <w:jc w:val="both"/>
        <w:textAlignment w:val="baseline"/>
        <w:rPr>
          <w:rFonts w:eastAsia="Times New Roman"/>
          <w:sz w:val="24"/>
        </w:rPr>
      </w:pPr>
      <w:r w:rsidRPr="0059736A">
        <w:rPr>
          <w:rFonts w:eastAsia="Times New Roman"/>
          <w:sz w:val="24"/>
        </w:rPr>
        <w:t>Does CenterPoint’s rate treatment of energy efficiency expenditures comply with PURA and PUC Subst. Rules?</w:t>
      </w:r>
    </w:p>
    <w:p w14:paraId="3B1DB7EE" w14:textId="77777777" w:rsidR="00E565B9" w:rsidRPr="006D7BFD" w:rsidRDefault="008C6185">
      <w:pPr>
        <w:numPr>
          <w:ilvl w:val="0"/>
          <w:numId w:val="1"/>
        </w:numPr>
        <w:spacing w:before="273" w:line="279" w:lineRule="exact"/>
        <w:ind w:left="720" w:hanging="720"/>
        <w:jc w:val="both"/>
        <w:textAlignment w:val="baseline"/>
        <w:rPr>
          <w:rFonts w:eastAsia="Times New Roman"/>
          <w:sz w:val="24"/>
        </w:rPr>
      </w:pPr>
      <w:r w:rsidRPr="006D7BFD">
        <w:rPr>
          <w:rFonts w:eastAsia="Times New Roman"/>
          <w:sz w:val="24"/>
        </w:rPr>
        <w:t>What are the reasonable depreciation rates to be used for determining transmission and distribution rates, and for determining future depreciation expenses for CenterPoint?</w:t>
      </w:r>
    </w:p>
    <w:p w14:paraId="3B1DB7EF" w14:textId="77777777" w:rsidR="00E565B9" w:rsidRPr="006D7BFD" w:rsidRDefault="008C6185">
      <w:pPr>
        <w:numPr>
          <w:ilvl w:val="0"/>
          <w:numId w:val="1"/>
        </w:numPr>
        <w:spacing w:before="271" w:line="276" w:lineRule="exact"/>
        <w:ind w:left="720" w:hanging="720"/>
        <w:jc w:val="both"/>
        <w:textAlignment w:val="baseline"/>
        <w:rPr>
          <w:rFonts w:eastAsia="Times New Roman"/>
          <w:sz w:val="24"/>
        </w:rPr>
      </w:pPr>
      <w:r w:rsidRPr="006D7BFD">
        <w:rPr>
          <w:rFonts w:eastAsia="Times New Roman"/>
          <w:sz w:val="24"/>
        </w:rPr>
        <w:t>What are the reasonable, weather normalized test year customer class energy usage levels, peak demands and billing determinants to be used for establishing revenue levels and new rates?</w:t>
      </w:r>
    </w:p>
    <w:p w14:paraId="3B1DB7F0" w14:textId="6F3D978A" w:rsidR="00E565B9" w:rsidRPr="00922BA1" w:rsidRDefault="00E2787A" w:rsidP="00E2787A">
      <w:pPr>
        <w:tabs>
          <w:tab w:val="left" w:pos="720"/>
        </w:tabs>
        <w:spacing w:before="274" w:line="278" w:lineRule="exact"/>
        <w:ind w:left="720" w:hanging="720"/>
        <w:jc w:val="both"/>
        <w:textAlignment w:val="baseline"/>
        <w:rPr>
          <w:rFonts w:eastAsia="Times New Roman"/>
          <w:sz w:val="24"/>
        </w:rPr>
      </w:pPr>
      <w:r>
        <w:rPr>
          <w:rFonts w:eastAsia="Times New Roman"/>
          <w:sz w:val="24"/>
        </w:rPr>
        <w:t>13.</w:t>
      </w:r>
      <w:r>
        <w:rPr>
          <w:rFonts w:eastAsia="Times New Roman"/>
          <w:sz w:val="24"/>
        </w:rPr>
        <w:tab/>
      </w:r>
      <w:r w:rsidR="008C6185" w:rsidRPr="00922BA1">
        <w:rPr>
          <w:rFonts w:eastAsia="Times New Roman"/>
          <w:sz w:val="24"/>
        </w:rPr>
        <w:t>Are CenterPoint’s proposed changes to discretionary service charges, tariff terms and conditions and other charges and riders reasonable?</w:t>
      </w:r>
    </w:p>
    <w:p w14:paraId="3B1DB7F1" w14:textId="200C7097" w:rsidR="00E565B9" w:rsidRPr="00922BA1" w:rsidRDefault="00E2787A" w:rsidP="00E2787A">
      <w:pPr>
        <w:tabs>
          <w:tab w:val="left" w:pos="720"/>
        </w:tabs>
        <w:spacing w:before="268" w:line="279" w:lineRule="exact"/>
        <w:ind w:left="720" w:hanging="720"/>
        <w:jc w:val="both"/>
        <w:textAlignment w:val="baseline"/>
        <w:rPr>
          <w:rFonts w:eastAsia="Times New Roman"/>
          <w:sz w:val="24"/>
        </w:rPr>
      </w:pPr>
      <w:r>
        <w:rPr>
          <w:rFonts w:eastAsia="Times New Roman"/>
          <w:sz w:val="24"/>
        </w:rPr>
        <w:t>14.</w:t>
      </w:r>
      <w:r>
        <w:rPr>
          <w:rFonts w:eastAsia="Times New Roman"/>
          <w:sz w:val="24"/>
        </w:rPr>
        <w:tab/>
      </w:r>
      <w:r w:rsidR="008C6185" w:rsidRPr="00922BA1">
        <w:rPr>
          <w:rFonts w:eastAsia="Times New Roman"/>
          <w:sz w:val="24"/>
        </w:rPr>
        <w:t>What are the reasonable rate case expenses incurred by CenterPoint and the municipalities for participation in this proceeding?</w:t>
      </w:r>
    </w:p>
    <w:p w14:paraId="3B1DB7F2" w14:textId="16CF6336" w:rsidR="00E565B9" w:rsidRPr="00E2787A" w:rsidRDefault="00E2787A" w:rsidP="00E2787A">
      <w:pPr>
        <w:tabs>
          <w:tab w:val="left" w:pos="720"/>
        </w:tabs>
        <w:spacing w:before="281" w:line="274" w:lineRule="exact"/>
        <w:ind w:left="720" w:hanging="720"/>
        <w:jc w:val="both"/>
        <w:textAlignment w:val="baseline"/>
        <w:rPr>
          <w:rFonts w:eastAsia="Times New Roman"/>
          <w:sz w:val="24"/>
        </w:rPr>
      </w:pPr>
      <w:r>
        <w:rPr>
          <w:rFonts w:eastAsia="Times New Roman"/>
          <w:sz w:val="24"/>
        </w:rPr>
        <w:t>15.</w:t>
      </w:r>
      <w:r>
        <w:rPr>
          <w:rFonts w:eastAsia="Times New Roman"/>
          <w:sz w:val="24"/>
        </w:rPr>
        <w:tab/>
      </w:r>
      <w:r w:rsidR="008C6185" w:rsidRPr="00E2787A">
        <w:rPr>
          <w:rFonts w:eastAsia="Times New Roman"/>
          <w:sz w:val="24"/>
        </w:rPr>
        <w:t>What, if any, of CenterPoint’s distribution investment included in the distribution cost recovery factor from Docket Nos. 44572, 45747, 47032, 48226</w:t>
      </w:r>
      <w:r w:rsidR="000D5648" w:rsidRPr="00E2787A">
        <w:rPr>
          <w:rFonts w:eastAsia="Times New Roman"/>
          <w:sz w:val="24"/>
        </w:rPr>
        <w:t>, 55993</w:t>
      </w:r>
      <w:r w:rsidR="00633E7D" w:rsidRPr="00E2787A">
        <w:rPr>
          <w:rFonts w:eastAsia="Times New Roman"/>
          <w:sz w:val="24"/>
        </w:rPr>
        <w:t>, and 54825</w:t>
      </w:r>
      <w:r w:rsidR="008C6185" w:rsidRPr="00E2787A">
        <w:rPr>
          <w:rFonts w:eastAsia="Times New Roman"/>
          <w:sz w:val="24"/>
        </w:rPr>
        <w:t xml:space="preserve"> is reasonable and prudent? To the extent there are any such investment amounts not established to be reasonable and prudent, how should the funds recovered by CenterPoint in the distribution cost recovery factor be returned to ratepayers?</w:t>
      </w:r>
    </w:p>
    <w:p w14:paraId="3B1DB7F3" w14:textId="5CDCC238" w:rsidR="00E565B9" w:rsidRPr="007B6D80" w:rsidRDefault="00E2787A" w:rsidP="00E2787A">
      <w:pPr>
        <w:tabs>
          <w:tab w:val="left" w:pos="720"/>
        </w:tabs>
        <w:spacing w:before="274" w:line="278" w:lineRule="exact"/>
        <w:ind w:left="720" w:hanging="720"/>
        <w:jc w:val="both"/>
        <w:textAlignment w:val="baseline"/>
        <w:rPr>
          <w:rFonts w:eastAsia="Times New Roman"/>
          <w:sz w:val="24"/>
        </w:rPr>
      </w:pPr>
      <w:r>
        <w:rPr>
          <w:rFonts w:eastAsia="Times New Roman"/>
          <w:sz w:val="24"/>
        </w:rPr>
        <w:t>16.</w:t>
      </w:r>
      <w:r>
        <w:rPr>
          <w:rFonts w:eastAsia="Times New Roman"/>
          <w:sz w:val="24"/>
        </w:rPr>
        <w:tab/>
      </w:r>
      <w:r w:rsidR="008C6185" w:rsidRPr="007B6D80">
        <w:rPr>
          <w:rFonts w:eastAsia="Times New Roman"/>
          <w:sz w:val="24"/>
        </w:rPr>
        <w:t>What are the reasonable operation and maintenance expenses associated with CenterPoint’s transmission and distribution plant?</w:t>
      </w:r>
    </w:p>
    <w:p w14:paraId="3B1DB7F4" w14:textId="3CA9EF23" w:rsidR="00E565B9" w:rsidRPr="00AF5CE7" w:rsidRDefault="00E2787A" w:rsidP="00E2787A">
      <w:pPr>
        <w:tabs>
          <w:tab w:val="left" w:pos="720"/>
        </w:tabs>
        <w:spacing w:before="270" w:line="278" w:lineRule="exact"/>
        <w:ind w:left="720" w:hanging="720"/>
        <w:jc w:val="both"/>
        <w:textAlignment w:val="baseline"/>
        <w:rPr>
          <w:rFonts w:eastAsia="Times New Roman"/>
          <w:sz w:val="24"/>
        </w:rPr>
      </w:pPr>
      <w:r>
        <w:rPr>
          <w:rFonts w:eastAsia="Times New Roman"/>
          <w:sz w:val="24"/>
        </w:rPr>
        <w:t>17.</w:t>
      </w:r>
      <w:r>
        <w:rPr>
          <w:rFonts w:eastAsia="Times New Roman"/>
          <w:sz w:val="24"/>
        </w:rPr>
        <w:tab/>
      </w:r>
      <w:r w:rsidR="008C6185" w:rsidRPr="00AF5CE7">
        <w:rPr>
          <w:rFonts w:eastAsia="Times New Roman"/>
          <w:sz w:val="24"/>
        </w:rPr>
        <w:t>What are the reasonable and necessary expenses</w:t>
      </w:r>
      <w:r w:rsidR="006E1963">
        <w:rPr>
          <w:rFonts w:eastAsia="Times New Roman"/>
          <w:sz w:val="24"/>
        </w:rPr>
        <w:t xml:space="preserve"> and investments</w:t>
      </w:r>
      <w:r w:rsidR="008C6185" w:rsidRPr="00AF5CE7">
        <w:rPr>
          <w:rFonts w:eastAsia="Times New Roman"/>
          <w:sz w:val="24"/>
        </w:rPr>
        <w:t xml:space="preserve"> associated with Hurricane Harvey</w:t>
      </w:r>
      <w:r w:rsidR="00433055" w:rsidRPr="00AF5CE7">
        <w:rPr>
          <w:rFonts w:eastAsia="Times New Roman"/>
          <w:sz w:val="24"/>
        </w:rPr>
        <w:t>, Winter Storm Uri, Hurricane Nicholas, Winter Storm Elliot, F3 tornado, and the 2023 microburst event</w:t>
      </w:r>
      <w:r w:rsidR="008C6185" w:rsidRPr="00AF5CE7">
        <w:rPr>
          <w:rFonts w:eastAsia="Times New Roman"/>
          <w:sz w:val="24"/>
        </w:rPr>
        <w:t>? Has CenterPoint properly accounted for these expenses in its proposed rates?</w:t>
      </w:r>
    </w:p>
    <w:p w14:paraId="3B1DB7F6" w14:textId="77777777" w:rsidR="00E565B9" w:rsidRDefault="00E565B9">
      <w:pPr>
        <w:sectPr w:rsidR="00E565B9" w:rsidSect="003E3F2E">
          <w:footerReference w:type="default" r:id="rId7"/>
          <w:pgSz w:w="12240" w:h="15802"/>
          <w:pgMar w:top="1440" w:right="1440" w:bottom="1440" w:left="1440" w:header="720" w:footer="720" w:gutter="0"/>
          <w:cols w:space="720"/>
          <w:docGrid w:linePitch="299"/>
        </w:sectPr>
      </w:pPr>
    </w:p>
    <w:p w14:paraId="3B1DB7F7" w14:textId="77777777" w:rsidR="00E565B9" w:rsidRDefault="008C6185">
      <w:pPr>
        <w:spacing w:line="275" w:lineRule="exact"/>
        <w:ind w:left="4320"/>
        <w:textAlignment w:val="baseline"/>
        <w:rPr>
          <w:rFonts w:eastAsia="Times New Roman"/>
          <w:color w:val="000000"/>
          <w:sz w:val="24"/>
        </w:rPr>
      </w:pPr>
      <w:r>
        <w:rPr>
          <w:rFonts w:eastAsia="Times New Roman"/>
          <w:color w:val="000000"/>
          <w:sz w:val="24"/>
        </w:rPr>
        <w:lastRenderedPageBreak/>
        <w:t>Respectfully submitted,</w:t>
      </w:r>
    </w:p>
    <w:p w14:paraId="3B1DB7F8" w14:textId="70954601" w:rsidR="00E565B9" w:rsidRDefault="000B4D3B">
      <w:pPr>
        <w:spacing w:before="276" w:line="275" w:lineRule="exact"/>
        <w:ind w:left="4320"/>
        <w:textAlignment w:val="baseline"/>
        <w:rPr>
          <w:rFonts w:eastAsia="Times New Roman"/>
          <w:color w:val="000000"/>
          <w:sz w:val="24"/>
        </w:rPr>
      </w:pPr>
      <w:r>
        <w:rPr>
          <w:rFonts w:eastAsia="Times New Roman"/>
          <w:color w:val="000000"/>
          <w:sz w:val="24"/>
        </w:rPr>
        <w:t>Arturo G. Michel</w:t>
      </w:r>
      <w:r w:rsidR="008C6185">
        <w:rPr>
          <w:rFonts w:eastAsia="Times New Roman"/>
          <w:color w:val="000000"/>
          <w:sz w:val="24"/>
        </w:rPr>
        <w:t xml:space="preserve"> </w:t>
      </w:r>
      <w:r w:rsidR="008C6185">
        <w:rPr>
          <w:rFonts w:eastAsia="Times New Roman"/>
          <w:color w:val="000000"/>
          <w:sz w:val="24"/>
        </w:rPr>
        <w:br/>
        <w:t>City Attorney</w:t>
      </w:r>
    </w:p>
    <w:p w14:paraId="3B1DB7F9" w14:textId="77777777" w:rsidR="00E565B9" w:rsidRDefault="008C6185">
      <w:pPr>
        <w:spacing w:before="277" w:line="275" w:lineRule="exact"/>
        <w:ind w:left="4320"/>
        <w:textAlignment w:val="baseline"/>
        <w:rPr>
          <w:rFonts w:eastAsia="Times New Roman"/>
          <w:color w:val="000000"/>
          <w:sz w:val="24"/>
        </w:rPr>
      </w:pPr>
      <w:r>
        <w:rPr>
          <w:rFonts w:eastAsia="Times New Roman"/>
          <w:color w:val="000000"/>
          <w:sz w:val="24"/>
        </w:rPr>
        <w:t>YuShan Chang</w:t>
      </w:r>
    </w:p>
    <w:p w14:paraId="3B1DB7FA" w14:textId="77777777" w:rsidR="00E565B9" w:rsidRDefault="008C6185">
      <w:pPr>
        <w:spacing w:line="273" w:lineRule="exact"/>
        <w:ind w:left="4320"/>
        <w:textAlignment w:val="baseline"/>
        <w:rPr>
          <w:rFonts w:eastAsia="Times New Roman"/>
          <w:color w:val="000000"/>
          <w:spacing w:val="-1"/>
          <w:sz w:val="24"/>
        </w:rPr>
      </w:pPr>
      <w:r>
        <w:rPr>
          <w:rFonts w:eastAsia="Times New Roman"/>
          <w:color w:val="000000"/>
          <w:spacing w:val="-1"/>
          <w:sz w:val="24"/>
        </w:rPr>
        <w:t>State Bar No. 24040670</w:t>
      </w:r>
    </w:p>
    <w:p w14:paraId="3B1DB7FB" w14:textId="77777777" w:rsidR="00E565B9" w:rsidRDefault="008C6185">
      <w:pPr>
        <w:spacing w:before="4" w:line="275" w:lineRule="exact"/>
        <w:ind w:left="4320"/>
        <w:textAlignment w:val="baseline"/>
        <w:rPr>
          <w:rFonts w:eastAsia="Times New Roman"/>
          <w:color w:val="000000"/>
          <w:sz w:val="24"/>
        </w:rPr>
      </w:pPr>
      <w:r>
        <w:rPr>
          <w:rFonts w:eastAsia="Times New Roman"/>
          <w:color w:val="000000"/>
          <w:sz w:val="24"/>
        </w:rPr>
        <w:t>Senior Assistant City Attorney</w:t>
      </w:r>
    </w:p>
    <w:p w14:paraId="3B1DB7FC" w14:textId="77777777" w:rsidR="00E565B9" w:rsidRDefault="008C6185">
      <w:pPr>
        <w:spacing w:before="2" w:line="275" w:lineRule="exact"/>
        <w:ind w:left="4320"/>
        <w:textAlignment w:val="baseline"/>
        <w:rPr>
          <w:rFonts w:eastAsia="Times New Roman"/>
          <w:color w:val="000000"/>
          <w:sz w:val="24"/>
        </w:rPr>
      </w:pPr>
      <w:r>
        <w:rPr>
          <w:rFonts w:eastAsia="Times New Roman"/>
          <w:color w:val="000000"/>
          <w:sz w:val="24"/>
        </w:rPr>
        <w:t xml:space="preserve">900 Bagby, 4th Floor </w:t>
      </w:r>
      <w:r>
        <w:rPr>
          <w:rFonts w:eastAsia="Times New Roman"/>
          <w:color w:val="000000"/>
          <w:sz w:val="24"/>
        </w:rPr>
        <w:br/>
        <w:t>Houston, Texas 77002</w:t>
      </w:r>
    </w:p>
    <w:p w14:paraId="3B1DB7FD" w14:textId="77777777" w:rsidR="00E565B9" w:rsidRDefault="008C6185">
      <w:pPr>
        <w:spacing w:line="273" w:lineRule="exact"/>
        <w:ind w:left="4320"/>
        <w:textAlignment w:val="baseline"/>
        <w:rPr>
          <w:rFonts w:eastAsia="Times New Roman"/>
          <w:color w:val="000000"/>
          <w:spacing w:val="-1"/>
          <w:sz w:val="24"/>
        </w:rPr>
      </w:pPr>
      <w:r>
        <w:rPr>
          <w:rFonts w:eastAsia="Times New Roman"/>
          <w:color w:val="000000"/>
          <w:spacing w:val="-1"/>
          <w:sz w:val="24"/>
        </w:rPr>
        <w:t>(832) 393-6442</w:t>
      </w:r>
    </w:p>
    <w:p w14:paraId="3B1DB7FE" w14:textId="77777777" w:rsidR="00E565B9" w:rsidRDefault="008C6185">
      <w:pPr>
        <w:spacing w:before="3" w:line="275" w:lineRule="exact"/>
        <w:ind w:left="4320"/>
        <w:textAlignment w:val="baseline"/>
        <w:rPr>
          <w:rFonts w:eastAsia="Times New Roman"/>
          <w:color w:val="000000"/>
          <w:sz w:val="24"/>
        </w:rPr>
      </w:pPr>
      <w:r>
        <w:rPr>
          <w:rFonts w:eastAsia="Times New Roman"/>
          <w:color w:val="000000"/>
          <w:sz w:val="24"/>
        </w:rPr>
        <w:t xml:space="preserve">(832) 393-6259 Facsimile </w:t>
      </w:r>
      <w:hyperlink r:id="rId8">
        <w:r>
          <w:rPr>
            <w:rFonts w:eastAsia="Times New Roman"/>
            <w:color w:val="0000FF"/>
            <w:sz w:val="24"/>
            <w:u w:val="single"/>
          </w:rPr>
          <w:t>yushan.chang@houstontx.gov</w:t>
        </w:r>
      </w:hyperlink>
      <w:r>
        <w:rPr>
          <w:rFonts w:eastAsia="Times New Roman"/>
          <w:color w:val="000000"/>
          <w:sz w:val="24"/>
        </w:rPr>
        <w:t xml:space="preserve"> </w:t>
      </w:r>
    </w:p>
    <w:p w14:paraId="770AB5C0" w14:textId="77777777" w:rsidR="007806F1" w:rsidRDefault="007806F1" w:rsidP="007806F1">
      <w:pPr>
        <w:spacing w:before="282" w:line="274" w:lineRule="exact"/>
        <w:ind w:left="4320"/>
        <w:textAlignment w:val="baseline"/>
        <w:rPr>
          <w:rFonts w:eastAsia="Times New Roman"/>
          <w:b/>
          <w:color w:val="000000"/>
          <w:sz w:val="24"/>
        </w:rPr>
      </w:pPr>
      <w:r>
        <w:rPr>
          <w:rFonts w:eastAsia="Times New Roman"/>
          <w:b/>
          <w:color w:val="000000"/>
          <w:sz w:val="24"/>
        </w:rPr>
        <w:t>Counsel for City of Houston</w:t>
      </w:r>
    </w:p>
    <w:p w14:paraId="76A6C619" w14:textId="77777777" w:rsidR="007806F1" w:rsidRDefault="007806F1">
      <w:pPr>
        <w:spacing w:before="3" w:line="275" w:lineRule="exact"/>
        <w:ind w:left="4320"/>
        <w:textAlignment w:val="baseline"/>
        <w:rPr>
          <w:rFonts w:eastAsia="Times New Roman"/>
          <w:color w:val="000000"/>
          <w:sz w:val="24"/>
        </w:rPr>
      </w:pPr>
    </w:p>
    <w:p w14:paraId="3B1DB7FF" w14:textId="77777777" w:rsidR="00E565B9" w:rsidRDefault="008C6185">
      <w:pPr>
        <w:spacing w:before="276" w:line="275" w:lineRule="exact"/>
        <w:ind w:left="4320"/>
        <w:textAlignment w:val="baseline"/>
        <w:rPr>
          <w:rFonts w:eastAsia="Times New Roman"/>
          <w:color w:val="000000"/>
          <w:sz w:val="24"/>
        </w:rPr>
      </w:pPr>
      <w:r>
        <w:rPr>
          <w:rFonts w:eastAsia="Times New Roman"/>
          <w:color w:val="000000"/>
          <w:sz w:val="24"/>
        </w:rPr>
        <w:t>Alton J. Hall, Jr.</w:t>
      </w:r>
    </w:p>
    <w:p w14:paraId="3B1DB800" w14:textId="0F0EC2CF" w:rsidR="00E565B9" w:rsidRDefault="008C6185">
      <w:pPr>
        <w:spacing w:before="2" w:line="275" w:lineRule="exact"/>
        <w:ind w:left="4320"/>
        <w:textAlignment w:val="baseline"/>
        <w:rPr>
          <w:rFonts w:eastAsia="Times New Roman"/>
          <w:color w:val="000000"/>
          <w:sz w:val="24"/>
        </w:rPr>
      </w:pPr>
      <w:r>
        <w:rPr>
          <w:rFonts w:eastAsia="Times New Roman"/>
          <w:color w:val="000000"/>
          <w:sz w:val="24"/>
        </w:rPr>
        <w:t xml:space="preserve">State Bar No.: 08743740 </w:t>
      </w:r>
      <w:r>
        <w:rPr>
          <w:rFonts w:eastAsia="Times New Roman"/>
          <w:color w:val="000000"/>
          <w:sz w:val="24"/>
        </w:rPr>
        <w:br/>
      </w:r>
      <w:r w:rsidR="00980C2C">
        <w:rPr>
          <w:rFonts w:eastAsia="Times New Roman"/>
          <w:color w:val="000000"/>
          <w:sz w:val="24"/>
        </w:rPr>
        <w:t>Anam R. Fazli</w:t>
      </w:r>
    </w:p>
    <w:p w14:paraId="777D2C35" w14:textId="77777777" w:rsidR="00E142B0" w:rsidRDefault="008C6185">
      <w:pPr>
        <w:spacing w:line="274" w:lineRule="exact"/>
        <w:ind w:left="4320" w:right="2016"/>
        <w:textAlignment w:val="baseline"/>
        <w:rPr>
          <w:rFonts w:eastAsia="Times New Roman"/>
          <w:color w:val="000000"/>
          <w:sz w:val="24"/>
        </w:rPr>
      </w:pPr>
      <w:r>
        <w:rPr>
          <w:rFonts w:eastAsia="Times New Roman"/>
          <w:color w:val="000000"/>
          <w:sz w:val="24"/>
        </w:rPr>
        <w:t>State Bar No. 24</w:t>
      </w:r>
      <w:r w:rsidR="00E142B0">
        <w:rPr>
          <w:rFonts w:eastAsia="Times New Roman"/>
          <w:color w:val="000000"/>
          <w:sz w:val="24"/>
        </w:rPr>
        <w:t>108599</w:t>
      </w:r>
    </w:p>
    <w:p w14:paraId="7FDB3723" w14:textId="27C85384" w:rsidR="00C629AF" w:rsidRDefault="00C629AF">
      <w:pPr>
        <w:spacing w:line="274" w:lineRule="exact"/>
        <w:ind w:left="4320" w:right="2016"/>
        <w:textAlignment w:val="baseline"/>
        <w:rPr>
          <w:rFonts w:eastAsia="Times New Roman"/>
          <w:color w:val="000000"/>
          <w:sz w:val="24"/>
        </w:rPr>
      </w:pPr>
      <w:r>
        <w:rPr>
          <w:rFonts w:eastAsia="Times New Roman"/>
          <w:color w:val="000000"/>
          <w:sz w:val="24"/>
        </w:rPr>
        <w:t>Steven T. Mori</w:t>
      </w:r>
      <w:r w:rsidR="007806F1">
        <w:rPr>
          <w:rFonts w:eastAsia="Times New Roman"/>
          <w:color w:val="000000"/>
          <w:sz w:val="24"/>
        </w:rPr>
        <w:t>t</w:t>
      </w:r>
      <w:r>
        <w:rPr>
          <w:rFonts w:eastAsia="Times New Roman"/>
          <w:color w:val="000000"/>
          <w:sz w:val="24"/>
        </w:rPr>
        <w:t>z</w:t>
      </w:r>
    </w:p>
    <w:p w14:paraId="0DAF88F2" w14:textId="04AD9F00" w:rsidR="00C629AF" w:rsidRDefault="00C629AF">
      <w:pPr>
        <w:spacing w:line="274" w:lineRule="exact"/>
        <w:ind w:left="4320" w:right="2016"/>
        <w:textAlignment w:val="baseline"/>
        <w:rPr>
          <w:rFonts w:eastAsia="Times New Roman"/>
          <w:color w:val="000000"/>
          <w:sz w:val="24"/>
        </w:rPr>
      </w:pPr>
      <w:r>
        <w:rPr>
          <w:rFonts w:eastAsia="Times New Roman"/>
          <w:color w:val="000000"/>
          <w:sz w:val="24"/>
        </w:rPr>
        <w:t>State Bar No. 24138686</w:t>
      </w:r>
    </w:p>
    <w:p w14:paraId="3B1DB801" w14:textId="2DC19BA7" w:rsidR="00E565B9" w:rsidRDefault="008C6185">
      <w:pPr>
        <w:spacing w:line="274" w:lineRule="exact"/>
        <w:ind w:left="4320" w:right="2016"/>
        <w:textAlignment w:val="baseline"/>
        <w:rPr>
          <w:rFonts w:eastAsia="Times New Roman"/>
          <w:color w:val="000000"/>
          <w:sz w:val="24"/>
        </w:rPr>
      </w:pPr>
      <w:r>
        <w:rPr>
          <w:rFonts w:eastAsia="Times New Roman"/>
          <w:color w:val="000000"/>
          <w:sz w:val="24"/>
        </w:rPr>
        <w:t>A</w:t>
      </w:r>
      <w:r>
        <w:rPr>
          <w:rFonts w:eastAsia="Times New Roman"/>
          <w:color w:val="000000"/>
          <w:sz w:val="19"/>
        </w:rPr>
        <w:t xml:space="preserve">DAMS AND </w:t>
      </w:r>
      <w:r>
        <w:rPr>
          <w:rFonts w:eastAsia="Times New Roman"/>
          <w:color w:val="000000"/>
          <w:sz w:val="24"/>
        </w:rPr>
        <w:t>R</w:t>
      </w:r>
      <w:r>
        <w:rPr>
          <w:rFonts w:eastAsia="Times New Roman"/>
          <w:color w:val="000000"/>
          <w:sz w:val="19"/>
        </w:rPr>
        <w:t xml:space="preserve">EESE </w:t>
      </w:r>
      <w:r>
        <w:rPr>
          <w:rFonts w:eastAsia="Times New Roman"/>
          <w:color w:val="000000"/>
          <w:sz w:val="24"/>
        </w:rPr>
        <w:t>LLP LyondellBasell Tower 1221 McKinney St., Suite 4400</w:t>
      </w:r>
    </w:p>
    <w:p w14:paraId="3B1DB802" w14:textId="77777777" w:rsidR="00E565B9" w:rsidRDefault="008C6185">
      <w:pPr>
        <w:spacing w:before="4" w:line="275" w:lineRule="exact"/>
        <w:ind w:left="4320"/>
        <w:textAlignment w:val="baseline"/>
        <w:rPr>
          <w:rFonts w:eastAsia="Times New Roman"/>
          <w:color w:val="000000"/>
          <w:sz w:val="24"/>
        </w:rPr>
      </w:pPr>
      <w:r>
        <w:rPr>
          <w:rFonts w:eastAsia="Times New Roman"/>
          <w:color w:val="000000"/>
          <w:sz w:val="24"/>
        </w:rPr>
        <w:t>Houston, Texas 77010</w:t>
      </w:r>
    </w:p>
    <w:p w14:paraId="3B1DB803" w14:textId="77777777" w:rsidR="00E565B9" w:rsidRDefault="008C6185">
      <w:pPr>
        <w:spacing w:line="273" w:lineRule="exact"/>
        <w:ind w:left="4320"/>
        <w:textAlignment w:val="baseline"/>
        <w:rPr>
          <w:rFonts w:eastAsia="Times New Roman"/>
          <w:color w:val="000000"/>
          <w:spacing w:val="-2"/>
          <w:sz w:val="24"/>
        </w:rPr>
      </w:pPr>
      <w:r>
        <w:rPr>
          <w:rFonts w:eastAsia="Times New Roman"/>
          <w:color w:val="000000"/>
          <w:spacing w:val="-2"/>
          <w:sz w:val="24"/>
        </w:rPr>
        <w:t>(713) 651-5151</w:t>
      </w:r>
    </w:p>
    <w:p w14:paraId="3B1DB804" w14:textId="2A473A24" w:rsidR="00E565B9" w:rsidRDefault="008C6185">
      <w:pPr>
        <w:spacing w:before="2" w:line="275" w:lineRule="exact"/>
        <w:ind w:left="4320"/>
        <w:textAlignment w:val="baseline"/>
        <w:rPr>
          <w:rFonts w:eastAsia="Times New Roman"/>
          <w:color w:val="000000"/>
          <w:sz w:val="24"/>
        </w:rPr>
      </w:pPr>
      <w:r>
        <w:rPr>
          <w:rFonts w:eastAsia="Times New Roman"/>
          <w:color w:val="000000"/>
          <w:sz w:val="24"/>
        </w:rPr>
        <w:t xml:space="preserve">(713) 652-5152 (Fax) </w:t>
      </w:r>
      <w:r>
        <w:rPr>
          <w:rFonts w:eastAsia="Times New Roman"/>
          <w:color w:val="000000"/>
          <w:sz w:val="24"/>
        </w:rPr>
        <w:br/>
      </w:r>
      <w:hyperlink r:id="rId9">
        <w:r>
          <w:rPr>
            <w:rFonts w:eastAsia="Times New Roman"/>
            <w:color w:val="0000FF"/>
            <w:sz w:val="24"/>
            <w:u w:val="single"/>
          </w:rPr>
          <w:t>alton.hall@arlaw.com</w:t>
        </w:r>
      </w:hyperlink>
      <w:r>
        <w:rPr>
          <w:rFonts w:eastAsia="Times New Roman"/>
          <w:color w:val="0000FF"/>
          <w:sz w:val="24"/>
          <w:u w:val="single"/>
        </w:rPr>
        <w:t xml:space="preserve">  </w:t>
      </w:r>
      <w:r>
        <w:rPr>
          <w:rFonts w:eastAsia="Times New Roman"/>
          <w:color w:val="0000FF"/>
          <w:sz w:val="24"/>
          <w:u w:val="single"/>
        </w:rPr>
        <w:br/>
      </w:r>
      <w:hyperlink r:id="rId10" w:history="1">
        <w:r w:rsidR="00980C2C" w:rsidRPr="00E7694C">
          <w:rPr>
            <w:rStyle w:val="Hyperlink"/>
            <w:rFonts w:eastAsia="Times New Roman"/>
            <w:sz w:val="24"/>
          </w:rPr>
          <w:t>anam.fazli@arlaw.com</w:t>
        </w:r>
      </w:hyperlink>
      <w:r>
        <w:rPr>
          <w:rFonts w:eastAsia="Times New Roman"/>
          <w:color w:val="000000"/>
          <w:sz w:val="24"/>
        </w:rPr>
        <w:t xml:space="preserve"> </w:t>
      </w:r>
    </w:p>
    <w:p w14:paraId="4C6DAFD1" w14:textId="5555796F" w:rsidR="00C629AF" w:rsidRDefault="00000000">
      <w:pPr>
        <w:spacing w:before="2" w:line="275" w:lineRule="exact"/>
        <w:ind w:left="4320"/>
        <w:textAlignment w:val="baseline"/>
        <w:rPr>
          <w:rFonts w:eastAsia="Times New Roman"/>
          <w:color w:val="000000"/>
          <w:sz w:val="24"/>
        </w:rPr>
      </w:pPr>
      <w:hyperlink r:id="rId11" w:history="1">
        <w:r w:rsidR="007806F1" w:rsidRPr="00A01CAC">
          <w:rPr>
            <w:rStyle w:val="Hyperlink"/>
            <w:rFonts w:eastAsia="Times New Roman"/>
            <w:sz w:val="24"/>
          </w:rPr>
          <w:t>steven.moritz@arlaw.com</w:t>
        </w:r>
      </w:hyperlink>
    </w:p>
    <w:p w14:paraId="12B13DEA" w14:textId="77777777" w:rsidR="007806F1" w:rsidRDefault="007806F1">
      <w:pPr>
        <w:spacing w:before="2" w:line="275" w:lineRule="exact"/>
        <w:ind w:left="4320"/>
        <w:textAlignment w:val="baseline"/>
        <w:rPr>
          <w:rFonts w:eastAsia="Times New Roman"/>
          <w:color w:val="000000"/>
          <w:sz w:val="24"/>
        </w:rPr>
      </w:pPr>
    </w:p>
    <w:p w14:paraId="13139E0C" w14:textId="388CF820" w:rsidR="007806F1" w:rsidRPr="007806F1" w:rsidRDefault="007806F1">
      <w:pPr>
        <w:spacing w:before="2" w:line="275" w:lineRule="exact"/>
        <w:ind w:left="4320"/>
        <w:textAlignment w:val="baseline"/>
        <w:rPr>
          <w:rFonts w:eastAsia="Times New Roman"/>
          <w:b/>
          <w:bCs/>
          <w:color w:val="000000"/>
          <w:sz w:val="24"/>
        </w:rPr>
      </w:pPr>
    </w:p>
    <w:p w14:paraId="3B1DB805" w14:textId="2C756ECB" w:rsidR="00E565B9" w:rsidRDefault="008C6185">
      <w:pPr>
        <w:spacing w:before="279" w:line="275" w:lineRule="exact"/>
        <w:ind w:left="4320" w:hanging="360"/>
        <w:textAlignment w:val="baseline"/>
        <w:rPr>
          <w:rFonts w:eastAsia="Times New Roman"/>
          <w:color w:val="000000"/>
          <w:sz w:val="24"/>
        </w:rPr>
      </w:pPr>
      <w:r>
        <w:rPr>
          <w:rFonts w:eastAsia="Times New Roman"/>
          <w:color w:val="000000"/>
          <w:sz w:val="24"/>
        </w:rPr>
        <w:t xml:space="preserve">By: </w:t>
      </w:r>
      <w:r>
        <w:rPr>
          <w:rFonts w:eastAsia="Times New Roman"/>
          <w:i/>
          <w:color w:val="000000"/>
          <w:sz w:val="24"/>
          <w:u w:val="single"/>
        </w:rPr>
        <w:t xml:space="preserve"> /s/ Alton J. Hall</w:t>
      </w:r>
      <w:r w:rsidR="00702AE2">
        <w:rPr>
          <w:rFonts w:eastAsia="Times New Roman"/>
          <w:i/>
          <w:color w:val="000000"/>
          <w:sz w:val="24"/>
          <w:u w:val="single"/>
        </w:rPr>
        <w:t>, Jr.</w:t>
      </w:r>
      <w:r>
        <w:rPr>
          <w:rFonts w:eastAsia="Times New Roman"/>
          <w:i/>
          <w:color w:val="000000"/>
          <w:sz w:val="24"/>
          <w:u w:val="single"/>
        </w:rPr>
        <w:t xml:space="preserve"> </w:t>
      </w:r>
      <w:r>
        <w:rPr>
          <w:rFonts w:eastAsia="Times New Roman"/>
          <w:i/>
          <w:color w:val="000000"/>
          <w:sz w:val="24"/>
          <w:u w:val="single"/>
        </w:rPr>
        <w:br/>
      </w:r>
      <w:r>
        <w:rPr>
          <w:rFonts w:eastAsia="Times New Roman"/>
          <w:color w:val="000000"/>
          <w:sz w:val="24"/>
        </w:rPr>
        <w:t>Alton J. Hall, Jr.</w:t>
      </w:r>
    </w:p>
    <w:p w14:paraId="4C92DD09" w14:textId="1317C569" w:rsidR="00C629AF" w:rsidRDefault="00980519">
      <w:pPr>
        <w:spacing w:before="282" w:line="274" w:lineRule="exact"/>
        <w:ind w:left="4320"/>
        <w:textAlignment w:val="baseline"/>
        <w:rPr>
          <w:rFonts w:eastAsia="Times New Roman"/>
          <w:b/>
          <w:color w:val="000000"/>
          <w:sz w:val="24"/>
        </w:rPr>
      </w:pPr>
      <w:r>
        <w:rPr>
          <w:rFonts w:eastAsia="Times New Roman"/>
          <w:b/>
          <w:bCs/>
          <w:color w:val="000000"/>
          <w:sz w:val="24"/>
        </w:rPr>
        <w:t xml:space="preserve">Counsel for </w:t>
      </w:r>
      <w:r w:rsidRPr="007806F1">
        <w:rPr>
          <w:rFonts w:eastAsia="Times New Roman"/>
          <w:b/>
          <w:bCs/>
          <w:color w:val="000000"/>
          <w:sz w:val="24"/>
        </w:rPr>
        <w:t>Houston Coalition of Cities</w:t>
      </w:r>
    </w:p>
    <w:p w14:paraId="7B49A412" w14:textId="77777777" w:rsidR="00C629AF" w:rsidRDefault="00C629AF">
      <w:pPr>
        <w:spacing w:before="282" w:line="274" w:lineRule="exact"/>
        <w:ind w:left="4320"/>
        <w:textAlignment w:val="baseline"/>
        <w:rPr>
          <w:rFonts w:eastAsia="Times New Roman"/>
          <w:b/>
          <w:color w:val="000000"/>
          <w:sz w:val="24"/>
        </w:rPr>
      </w:pPr>
    </w:p>
    <w:p w14:paraId="4C680A99" w14:textId="77777777" w:rsidR="00C629AF" w:rsidRDefault="00C629AF">
      <w:pPr>
        <w:spacing w:before="282" w:line="274" w:lineRule="exact"/>
        <w:ind w:left="4320"/>
        <w:textAlignment w:val="baseline"/>
        <w:rPr>
          <w:rFonts w:eastAsia="Times New Roman"/>
          <w:b/>
          <w:color w:val="000000"/>
          <w:sz w:val="24"/>
        </w:rPr>
      </w:pPr>
    </w:p>
    <w:p w14:paraId="3B1DB807" w14:textId="77777777" w:rsidR="00E565B9" w:rsidRDefault="008C6185">
      <w:pPr>
        <w:spacing w:before="830" w:line="273" w:lineRule="exact"/>
        <w:jc w:val="center"/>
        <w:textAlignment w:val="baseline"/>
        <w:rPr>
          <w:rFonts w:eastAsia="Times New Roman"/>
          <w:b/>
          <w:color w:val="000000"/>
          <w:sz w:val="24"/>
          <w:u w:val="single"/>
        </w:rPr>
      </w:pPr>
      <w:r>
        <w:rPr>
          <w:rFonts w:eastAsia="Times New Roman"/>
          <w:b/>
          <w:color w:val="000000"/>
          <w:sz w:val="24"/>
          <w:u w:val="single"/>
        </w:rPr>
        <w:lastRenderedPageBreak/>
        <w:t>CERTIFICATE OF SERVICE</w:t>
      </w:r>
    </w:p>
    <w:p w14:paraId="3B1DB808" w14:textId="58FCDAEB" w:rsidR="00E565B9" w:rsidRDefault="008C6185">
      <w:pPr>
        <w:spacing w:before="272" w:line="275" w:lineRule="exact"/>
        <w:ind w:firstLine="720"/>
        <w:jc w:val="both"/>
        <w:textAlignment w:val="baseline"/>
        <w:rPr>
          <w:rFonts w:eastAsia="Times New Roman"/>
          <w:color w:val="000000"/>
          <w:sz w:val="24"/>
        </w:rPr>
      </w:pPr>
      <w:r>
        <w:rPr>
          <w:rFonts w:eastAsia="Times New Roman"/>
          <w:color w:val="000000"/>
          <w:sz w:val="24"/>
        </w:rPr>
        <w:t xml:space="preserve">I hereby certify that on this the </w:t>
      </w:r>
      <w:r w:rsidR="00980C2C">
        <w:rPr>
          <w:rFonts w:eastAsia="Times New Roman"/>
          <w:color w:val="000000"/>
          <w:sz w:val="24"/>
        </w:rPr>
        <w:t>21</w:t>
      </w:r>
      <w:r w:rsidR="00980C2C" w:rsidRPr="00980C2C">
        <w:rPr>
          <w:rFonts w:eastAsia="Times New Roman"/>
          <w:color w:val="000000"/>
          <w:sz w:val="24"/>
          <w:vertAlign w:val="superscript"/>
        </w:rPr>
        <w:t>st</w:t>
      </w:r>
      <w:r w:rsidR="00980C2C">
        <w:rPr>
          <w:rFonts w:eastAsia="Times New Roman"/>
          <w:color w:val="000000"/>
          <w:sz w:val="24"/>
        </w:rPr>
        <w:t xml:space="preserve"> </w:t>
      </w:r>
      <w:r>
        <w:rPr>
          <w:rFonts w:eastAsia="Times New Roman"/>
          <w:color w:val="000000"/>
          <w:sz w:val="24"/>
        </w:rPr>
        <w:t>day of</w:t>
      </w:r>
      <w:r w:rsidR="007806F1">
        <w:rPr>
          <w:rFonts w:eastAsia="Times New Roman"/>
          <w:color w:val="000000"/>
          <w:sz w:val="24"/>
        </w:rPr>
        <w:t xml:space="preserve"> March</w:t>
      </w:r>
      <w:r>
        <w:rPr>
          <w:rFonts w:eastAsia="Times New Roman"/>
          <w:color w:val="000000"/>
          <w:sz w:val="24"/>
        </w:rPr>
        <w:t>, 20</w:t>
      </w:r>
      <w:r w:rsidR="00980C2C">
        <w:rPr>
          <w:rFonts w:eastAsia="Times New Roman"/>
          <w:color w:val="000000"/>
          <w:sz w:val="24"/>
        </w:rPr>
        <w:t>24</w:t>
      </w:r>
      <w:r>
        <w:rPr>
          <w:rFonts w:eastAsia="Times New Roman"/>
          <w:color w:val="000000"/>
          <w:sz w:val="24"/>
        </w:rPr>
        <w:t>, a true and correct copy of the foregoing document was served upon the parties of record by email, facsimile and/or First Class Mail.</w:t>
      </w:r>
    </w:p>
    <w:p w14:paraId="3B1DB809" w14:textId="77777777" w:rsidR="00E565B9" w:rsidRDefault="008C6185">
      <w:pPr>
        <w:spacing w:before="275" w:line="275" w:lineRule="exact"/>
        <w:ind w:left="4320"/>
        <w:textAlignment w:val="baseline"/>
        <w:rPr>
          <w:rFonts w:eastAsia="Times New Roman"/>
          <w:i/>
          <w:color w:val="000000"/>
          <w:sz w:val="24"/>
          <w:u w:val="single"/>
        </w:rPr>
      </w:pPr>
      <w:r>
        <w:rPr>
          <w:rFonts w:eastAsia="Times New Roman"/>
          <w:i/>
          <w:color w:val="000000"/>
          <w:sz w:val="24"/>
          <w:u w:val="single"/>
        </w:rPr>
        <w:t xml:space="preserve">/s/ Alton J. Hall, Jr. </w:t>
      </w:r>
      <w:r>
        <w:rPr>
          <w:rFonts w:eastAsia="Times New Roman"/>
          <w:i/>
          <w:color w:val="000000"/>
          <w:sz w:val="24"/>
          <w:u w:val="single"/>
        </w:rPr>
        <w:br/>
      </w:r>
      <w:r>
        <w:rPr>
          <w:rFonts w:eastAsia="Times New Roman"/>
          <w:color w:val="000000"/>
          <w:sz w:val="24"/>
        </w:rPr>
        <w:t>Alton J. Hall, Jr.</w:t>
      </w:r>
    </w:p>
    <w:sectPr w:rsidR="00E565B9">
      <w:pgSz w:w="12240" w:h="15802"/>
      <w:pgMar w:top="1440" w:right="1417" w:bottom="2386" w:left="142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12A6" w14:textId="77777777" w:rsidR="003E3F2E" w:rsidRDefault="003E3F2E">
      <w:r>
        <w:separator/>
      </w:r>
    </w:p>
  </w:endnote>
  <w:endnote w:type="continuationSeparator" w:id="0">
    <w:p w14:paraId="15069C09" w14:textId="77777777" w:rsidR="003E3F2E" w:rsidRDefault="003E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40B72" w14:textId="77777777" w:rsidR="007806F1" w:rsidRDefault="007806F1">
    <w:pPr>
      <w:pStyle w:val="Footer"/>
      <w:tabs>
        <w:tab w:val="clear" w:pos="4680"/>
        <w:tab w:val="clear" w:pos="9360"/>
      </w:tabs>
      <w:jc w:val="center"/>
      <w:rPr>
        <w:caps/>
        <w:noProof/>
        <w:color w:val="156082" w:themeColor="accent1"/>
      </w:rPr>
    </w:pPr>
    <w:r>
      <w:rPr>
        <w:caps/>
        <w:color w:val="156082" w:themeColor="accent1"/>
      </w:rPr>
      <w:fldChar w:fldCharType="begin"/>
    </w:r>
    <w:r>
      <w:rPr>
        <w:caps/>
        <w:color w:val="156082" w:themeColor="accent1"/>
      </w:rPr>
      <w:instrText xml:space="preserve"> PAGE   \* MERGEFORMAT </w:instrText>
    </w:r>
    <w:r>
      <w:rPr>
        <w:caps/>
        <w:color w:val="156082" w:themeColor="accent1"/>
      </w:rPr>
      <w:fldChar w:fldCharType="separate"/>
    </w:r>
    <w:r>
      <w:rPr>
        <w:caps/>
        <w:noProof/>
        <w:color w:val="156082" w:themeColor="accent1"/>
      </w:rPr>
      <w:t>2</w:t>
    </w:r>
    <w:r>
      <w:rPr>
        <w:caps/>
        <w:noProof/>
        <w:color w:val="156082" w:themeColor="accent1"/>
      </w:rPr>
      <w:fldChar w:fldCharType="end"/>
    </w:r>
  </w:p>
  <w:p w14:paraId="7602BD4F" w14:textId="77777777" w:rsidR="007806F1" w:rsidRDefault="007806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63EE" w14:textId="77777777" w:rsidR="003E3F2E" w:rsidRDefault="003E3F2E"/>
  </w:footnote>
  <w:footnote w:type="continuationSeparator" w:id="0">
    <w:p w14:paraId="771D9996" w14:textId="77777777" w:rsidR="003E3F2E" w:rsidRDefault="003E3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23AF0"/>
    <w:multiLevelType w:val="hybridMultilevel"/>
    <w:tmpl w:val="CC543FFE"/>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2C40E3"/>
    <w:multiLevelType w:val="hybridMultilevel"/>
    <w:tmpl w:val="675475D6"/>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210176"/>
    <w:multiLevelType w:val="multilevel"/>
    <w:tmpl w:val="935CA57C"/>
    <w:lvl w:ilvl="0">
      <w:start w:val="1"/>
      <w:numFmt w:val="decimal"/>
      <w:lvlText w:val="%1."/>
      <w:lvlJc w:val="left"/>
      <w:pPr>
        <w:tabs>
          <w:tab w:val="left" w:pos="72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59598607">
    <w:abstractNumId w:val="2"/>
  </w:num>
  <w:num w:numId="2" w16cid:durableId="1000088236">
    <w:abstractNumId w:val="0"/>
  </w:num>
  <w:num w:numId="3" w16cid:durableId="1498644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5B9"/>
    <w:rsid w:val="00086062"/>
    <w:rsid w:val="00094D37"/>
    <w:rsid w:val="000B4D3B"/>
    <w:rsid w:val="000D5648"/>
    <w:rsid w:val="00223350"/>
    <w:rsid w:val="002D59AC"/>
    <w:rsid w:val="00357E9D"/>
    <w:rsid w:val="00381E11"/>
    <w:rsid w:val="003E3F2E"/>
    <w:rsid w:val="00422949"/>
    <w:rsid w:val="00433055"/>
    <w:rsid w:val="00487239"/>
    <w:rsid w:val="005321CC"/>
    <w:rsid w:val="0059736A"/>
    <w:rsid w:val="00633E7D"/>
    <w:rsid w:val="00672691"/>
    <w:rsid w:val="006D7BFD"/>
    <w:rsid w:val="006E1963"/>
    <w:rsid w:val="00702AE2"/>
    <w:rsid w:val="007612DC"/>
    <w:rsid w:val="007806F1"/>
    <w:rsid w:val="007B6D80"/>
    <w:rsid w:val="008178F6"/>
    <w:rsid w:val="008C6185"/>
    <w:rsid w:val="00922BA1"/>
    <w:rsid w:val="00980190"/>
    <w:rsid w:val="00980519"/>
    <w:rsid w:val="00980C2C"/>
    <w:rsid w:val="00AF5CE7"/>
    <w:rsid w:val="00C629AF"/>
    <w:rsid w:val="00E142B0"/>
    <w:rsid w:val="00E2787A"/>
    <w:rsid w:val="00E47292"/>
    <w:rsid w:val="00E56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DB7D5"/>
  <w15:docId w15:val="{DC82E6F0-C858-4D8F-A72B-7FF73B105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0C2C"/>
    <w:rPr>
      <w:color w:val="467886" w:themeColor="hyperlink"/>
      <w:u w:val="single"/>
    </w:rPr>
  </w:style>
  <w:style w:type="character" w:styleId="UnresolvedMention">
    <w:name w:val="Unresolved Mention"/>
    <w:basedOn w:val="DefaultParagraphFont"/>
    <w:uiPriority w:val="99"/>
    <w:semiHidden/>
    <w:unhideWhenUsed/>
    <w:rsid w:val="00980C2C"/>
    <w:rPr>
      <w:color w:val="605E5C"/>
      <w:shd w:val="clear" w:color="auto" w:fill="E1DFDD"/>
    </w:rPr>
  </w:style>
  <w:style w:type="paragraph" w:styleId="Header">
    <w:name w:val="header"/>
    <w:basedOn w:val="Normal"/>
    <w:link w:val="HeaderChar"/>
    <w:uiPriority w:val="99"/>
    <w:unhideWhenUsed/>
    <w:rsid w:val="007806F1"/>
    <w:pPr>
      <w:tabs>
        <w:tab w:val="center" w:pos="4680"/>
        <w:tab w:val="right" w:pos="9360"/>
      </w:tabs>
    </w:pPr>
  </w:style>
  <w:style w:type="character" w:customStyle="1" w:styleId="HeaderChar">
    <w:name w:val="Header Char"/>
    <w:basedOn w:val="DefaultParagraphFont"/>
    <w:link w:val="Header"/>
    <w:uiPriority w:val="99"/>
    <w:rsid w:val="007806F1"/>
  </w:style>
  <w:style w:type="paragraph" w:styleId="Footer">
    <w:name w:val="footer"/>
    <w:basedOn w:val="Normal"/>
    <w:link w:val="FooterChar"/>
    <w:uiPriority w:val="99"/>
    <w:unhideWhenUsed/>
    <w:rsid w:val="007806F1"/>
    <w:pPr>
      <w:tabs>
        <w:tab w:val="center" w:pos="4680"/>
        <w:tab w:val="right" w:pos="9360"/>
      </w:tabs>
    </w:pPr>
  </w:style>
  <w:style w:type="character" w:customStyle="1" w:styleId="FooterChar">
    <w:name w:val="Footer Char"/>
    <w:basedOn w:val="DefaultParagraphFont"/>
    <w:link w:val="Footer"/>
    <w:uiPriority w:val="99"/>
    <w:rsid w:val="007806F1"/>
  </w:style>
  <w:style w:type="paragraph" w:styleId="ListParagraph">
    <w:name w:val="List Paragraph"/>
    <w:basedOn w:val="Normal"/>
    <w:uiPriority w:val="34"/>
    <w:qFormat/>
    <w:rsid w:val="00E472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yushan.chang@houstontx.g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even.moritz@arlaw.com" TargetMode="External"/><Relationship Id="rId5" Type="http://schemas.openxmlformats.org/officeDocument/2006/relationships/footnotes" Target="footnotes.xml"/><Relationship Id="rId10" Type="http://schemas.openxmlformats.org/officeDocument/2006/relationships/hyperlink" Target="mailto:anam.fazli@arlaw.com" TargetMode="External"/><Relationship Id="rId4" Type="http://schemas.openxmlformats.org/officeDocument/2006/relationships/webSettings" Target="webSettings.xml"/><Relationship Id="rId9" Type="http://schemas.openxmlformats.org/officeDocument/2006/relationships/hyperlink" Target="mailto:alton.hall@arla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701</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Anam Fazli</dc:creator>
  <cp:lastModifiedBy>Mary Jahn</cp:lastModifiedBy>
  <cp:revision>3</cp:revision>
  <dcterms:created xsi:type="dcterms:W3CDTF">2024-03-21T19:18:00Z</dcterms:created>
  <dcterms:modified xsi:type="dcterms:W3CDTF">2024-03-21T19:43:00Z</dcterms:modified>
</cp:coreProperties>
</file>